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6A7A9" w14:textId="77777777" w:rsidR="00153A37" w:rsidRPr="005E72C7" w:rsidRDefault="00153A37" w:rsidP="00153A37">
      <w:pPr>
        <w:rPr>
          <w:lang w:val="es-ES"/>
        </w:rPr>
      </w:pPr>
      <w:r w:rsidRPr="005E72C7">
        <w:rPr>
          <w:lang w:val="es-ES"/>
        </w:rPr>
        <w:t>Convocatoria de artículos</w:t>
      </w:r>
      <w:r w:rsidR="001B260E" w:rsidRPr="005E72C7">
        <w:rPr>
          <w:lang w:val="es-ES"/>
        </w:rPr>
        <w:t xml:space="preserve">/ </w:t>
      </w:r>
      <w:proofErr w:type="spellStart"/>
      <w:r w:rsidR="001B260E" w:rsidRPr="005E72C7">
        <w:rPr>
          <w:lang w:val="es-ES"/>
        </w:rPr>
        <w:t>Call</w:t>
      </w:r>
      <w:proofErr w:type="spellEnd"/>
      <w:r w:rsidR="001B260E" w:rsidRPr="005E72C7">
        <w:rPr>
          <w:lang w:val="es-ES"/>
        </w:rPr>
        <w:t xml:space="preserve"> </w:t>
      </w:r>
      <w:proofErr w:type="spellStart"/>
      <w:r w:rsidR="001B260E" w:rsidRPr="005E72C7">
        <w:rPr>
          <w:lang w:val="es-ES"/>
        </w:rPr>
        <w:t>for</w:t>
      </w:r>
      <w:proofErr w:type="spellEnd"/>
      <w:r w:rsidR="001B260E" w:rsidRPr="005E72C7">
        <w:rPr>
          <w:lang w:val="es-ES"/>
        </w:rPr>
        <w:t xml:space="preserve"> </w:t>
      </w:r>
      <w:proofErr w:type="spellStart"/>
      <w:r w:rsidR="001B260E" w:rsidRPr="005E72C7">
        <w:rPr>
          <w:lang w:val="es-ES"/>
        </w:rPr>
        <w:t>papers</w:t>
      </w:r>
      <w:proofErr w:type="spellEnd"/>
    </w:p>
    <w:p w14:paraId="6BDB01F7" w14:textId="77777777" w:rsidR="00153A37" w:rsidRPr="005E72C7" w:rsidRDefault="00153A37" w:rsidP="00153A37">
      <w:pPr>
        <w:rPr>
          <w:lang w:val="es-ES"/>
        </w:rPr>
      </w:pPr>
      <w:r w:rsidRPr="005E72C7">
        <w:rPr>
          <w:lang w:val="es-ES"/>
        </w:rPr>
        <w:t>Dossier: Austeridad y Regímenes de bienestar y de sexo/género</w:t>
      </w:r>
    </w:p>
    <w:p w14:paraId="4BE75F6F" w14:textId="77777777" w:rsidR="00153A37" w:rsidRPr="005E72C7" w:rsidRDefault="00153A37" w:rsidP="000B2A41">
      <w:pPr>
        <w:rPr>
          <w:lang w:val="es-ES"/>
        </w:rPr>
      </w:pPr>
      <w:r w:rsidRPr="005E72C7">
        <w:rPr>
          <w:lang w:val="es-ES"/>
        </w:rPr>
        <w:t xml:space="preserve">Coordinación: </w:t>
      </w:r>
      <w:r w:rsidR="000B2A41" w:rsidRPr="005E72C7">
        <w:rPr>
          <w:lang w:val="es-ES"/>
        </w:rPr>
        <w:t>Virgi</w:t>
      </w:r>
      <w:r w:rsidRPr="005E72C7">
        <w:rPr>
          <w:lang w:val="es-ES"/>
        </w:rPr>
        <w:t>nia Ferreira y Silvia Portugal</w:t>
      </w:r>
    </w:p>
    <w:p w14:paraId="06450529" w14:textId="77777777" w:rsidR="00153A37" w:rsidRPr="005E72C7" w:rsidRDefault="00153A37" w:rsidP="00153A37">
      <w:pPr>
        <w:tabs>
          <w:tab w:val="left" w:pos="567"/>
        </w:tabs>
        <w:autoSpaceDE w:val="0"/>
        <w:autoSpaceDN w:val="0"/>
        <w:adjustRightInd w:val="0"/>
        <w:spacing w:after="0" w:line="360" w:lineRule="auto"/>
        <w:jc w:val="both"/>
        <w:rPr>
          <w:lang w:val="es-ES"/>
        </w:rPr>
      </w:pPr>
      <w:r w:rsidRPr="005E72C7">
        <w:rPr>
          <w:lang w:val="es-ES"/>
        </w:rPr>
        <w:t>Desde 2008 que la crisis económico-financi</w:t>
      </w:r>
      <w:r w:rsidR="000B2A41" w:rsidRPr="005E72C7">
        <w:rPr>
          <w:lang w:val="es-ES"/>
        </w:rPr>
        <w:t>era, social y política</w:t>
      </w:r>
      <w:r w:rsidRPr="005E72C7">
        <w:rPr>
          <w:lang w:val="es-ES"/>
        </w:rPr>
        <w:t xml:space="preserve"> y las medidas políticas implementadas para enfrentar</w:t>
      </w:r>
      <w:r w:rsidR="000B2A41" w:rsidRPr="005E72C7">
        <w:rPr>
          <w:lang w:val="es-ES"/>
        </w:rPr>
        <w:t>la</w:t>
      </w:r>
      <w:r w:rsidRPr="005E72C7">
        <w:rPr>
          <w:lang w:val="es-ES"/>
        </w:rPr>
        <w:t xml:space="preserve"> han provocado alteraciones significativas que no respetan los niveles de bienestar y protección social de sectores significativos de la población, principalmente en Europa y en América del Norte. Marcadas por la austeridad y por la retracción del gasto público en protección social y apoyo al crecimiento económico, las políticas públicas han exacerbado las desigualdades sociales, en la medida en que tienden a privatizar los riesgos sociales y a desregular los merc</w:t>
      </w:r>
      <w:r w:rsidR="000B2A41" w:rsidRPr="005E72C7">
        <w:rPr>
          <w:lang w:val="es-ES"/>
        </w:rPr>
        <w:t xml:space="preserve">ados de trabajo. A pesar de </w:t>
      </w:r>
      <w:r w:rsidRPr="005E72C7">
        <w:rPr>
          <w:lang w:val="es-ES"/>
        </w:rPr>
        <w:t xml:space="preserve">que </w:t>
      </w:r>
      <w:r w:rsidR="000B2A41" w:rsidRPr="005E72C7">
        <w:rPr>
          <w:lang w:val="es-ES"/>
        </w:rPr>
        <w:t xml:space="preserve">la </w:t>
      </w:r>
      <w:r w:rsidR="001740A1">
        <w:rPr>
          <w:lang w:val="es-ES"/>
        </w:rPr>
        <w:t>literatura sobre la</w:t>
      </w:r>
      <w:r w:rsidRPr="005E72C7">
        <w:rPr>
          <w:lang w:val="es-ES"/>
        </w:rPr>
        <w:t xml:space="preserve"> actual crisis y la austeridad es ya abundante, en ella raramente encontramos una perspectiva en la que</w:t>
      </w:r>
      <w:r w:rsidR="000B2A41" w:rsidRPr="005E72C7">
        <w:rPr>
          <w:lang w:val="es-ES"/>
        </w:rPr>
        <w:t xml:space="preserve"> se analicen</w:t>
      </w:r>
      <w:r w:rsidRPr="005E72C7">
        <w:rPr>
          <w:lang w:val="es-ES"/>
        </w:rPr>
        <w:t xml:space="preserve"> los impactos a nivel de</w:t>
      </w:r>
      <w:r w:rsidR="000B2A41" w:rsidRPr="005E72C7">
        <w:rPr>
          <w:lang w:val="es-ES"/>
        </w:rPr>
        <w:t xml:space="preserve"> los regímenes de sexo/género.</w:t>
      </w:r>
    </w:p>
    <w:p w14:paraId="20E3B596" w14:textId="77777777" w:rsidR="00153A37" w:rsidRPr="005E72C7" w:rsidRDefault="00153A37" w:rsidP="00153A37">
      <w:pPr>
        <w:tabs>
          <w:tab w:val="left" w:pos="567"/>
        </w:tabs>
        <w:autoSpaceDE w:val="0"/>
        <w:autoSpaceDN w:val="0"/>
        <w:adjustRightInd w:val="0"/>
        <w:spacing w:after="0" w:line="360" w:lineRule="auto"/>
        <w:jc w:val="both"/>
        <w:rPr>
          <w:color w:val="FF0000"/>
          <w:lang w:val="es-ES"/>
        </w:rPr>
      </w:pPr>
    </w:p>
    <w:p w14:paraId="5AB9FE1A" w14:textId="77777777" w:rsidR="00153A37" w:rsidRPr="005E72C7" w:rsidRDefault="00153A37" w:rsidP="00153A37">
      <w:pPr>
        <w:tabs>
          <w:tab w:val="left" w:pos="567"/>
        </w:tabs>
        <w:autoSpaceDE w:val="0"/>
        <w:autoSpaceDN w:val="0"/>
        <w:adjustRightInd w:val="0"/>
        <w:spacing w:after="0" w:line="360" w:lineRule="auto"/>
        <w:jc w:val="both"/>
        <w:rPr>
          <w:lang w:val="es-ES"/>
        </w:rPr>
      </w:pPr>
      <w:r w:rsidRPr="005E72C7">
        <w:rPr>
          <w:lang w:val="es-ES"/>
        </w:rPr>
        <w:t>Aunque las primeras manifestaciones de la crisis han a</w:t>
      </w:r>
      <w:r w:rsidR="00567A5B" w:rsidRPr="005E72C7">
        <w:rPr>
          <w:lang w:val="es-ES"/>
        </w:rPr>
        <w:t xml:space="preserve">lcanzado </w:t>
      </w:r>
      <w:r w:rsidRPr="005E72C7">
        <w:rPr>
          <w:lang w:val="es-ES"/>
        </w:rPr>
        <w:t xml:space="preserve">primordialmente a los sectores más masculinizados del empleo, varios estudios han </w:t>
      </w:r>
      <w:r w:rsidR="00567A5B" w:rsidRPr="005E72C7">
        <w:rPr>
          <w:lang w:val="es-ES"/>
        </w:rPr>
        <w:t>mostrado</w:t>
      </w:r>
      <w:r w:rsidRPr="005E72C7">
        <w:rPr>
          <w:lang w:val="es-ES"/>
        </w:rPr>
        <w:t xml:space="preserve"> que el empleo femenino no dejó de ser afectado principalmente como consecuencia de las medidas de austeridad adoptadas por los gobiernos para “combatir” la crisis, entre las cuales se destacan los cortes en los apoyos sociales, el aumento de los impuestos y la reducción de los </w:t>
      </w:r>
      <w:r w:rsidR="0090205C" w:rsidRPr="005E72C7">
        <w:rPr>
          <w:lang w:val="es-ES"/>
        </w:rPr>
        <w:t>funcionarios</w:t>
      </w:r>
      <w:r w:rsidRPr="005E72C7">
        <w:rPr>
          <w:lang w:val="es-ES"/>
        </w:rPr>
        <w:t xml:space="preserve"> de la administración pública. El </w:t>
      </w:r>
      <w:r w:rsidR="001740A1" w:rsidRPr="005E72C7">
        <w:rPr>
          <w:lang w:val="es-ES"/>
        </w:rPr>
        <w:t>principio</w:t>
      </w:r>
      <w:r w:rsidRPr="005E72C7">
        <w:rPr>
          <w:lang w:val="es-ES"/>
        </w:rPr>
        <w:t xml:space="preserve"> de</w:t>
      </w:r>
      <w:r w:rsidR="001740A1">
        <w:rPr>
          <w:lang w:val="es-ES"/>
        </w:rPr>
        <w:t>l</w:t>
      </w:r>
      <w:r w:rsidRPr="005E72C7">
        <w:rPr>
          <w:lang w:val="es-ES"/>
        </w:rPr>
        <w:t xml:space="preserve"> universalismo se ha ido abandonando en favor de la selección. La generalización de la condición de insuficiencia de medios de los agregados familiares refuerza el papel subsidiario de la familia y reduce la autonomía de las mujeres en áreas clave de la ciudadanía, a nivel individual, social y político. Las mujeres son una vez más relegadas a la “caja negra” de la familia, de donde lucharon para salir a lo largo de las últimas décadas. La retracción del Estado de Bienestar formal lleva a un refuerzo d</w:t>
      </w:r>
      <w:r w:rsidR="0090205C" w:rsidRPr="005E72C7">
        <w:rPr>
          <w:lang w:val="es-ES"/>
        </w:rPr>
        <w:t>e la “sociedad-providencia” inf</w:t>
      </w:r>
      <w:r w:rsidRPr="005E72C7">
        <w:rPr>
          <w:lang w:val="es-ES"/>
        </w:rPr>
        <w:t>o</w:t>
      </w:r>
      <w:r w:rsidR="0090205C" w:rsidRPr="005E72C7">
        <w:rPr>
          <w:lang w:val="es-ES"/>
        </w:rPr>
        <w:t>r</w:t>
      </w:r>
      <w:r w:rsidRPr="005E72C7">
        <w:rPr>
          <w:lang w:val="es-ES"/>
        </w:rPr>
        <w:t xml:space="preserve">mal, cuyo principal </w:t>
      </w:r>
      <w:r w:rsidR="0090205C" w:rsidRPr="005E72C7">
        <w:rPr>
          <w:lang w:val="es-ES"/>
        </w:rPr>
        <w:t>pi</w:t>
      </w:r>
      <w:r w:rsidRPr="005E72C7">
        <w:rPr>
          <w:lang w:val="es-ES"/>
        </w:rPr>
        <w:t xml:space="preserve">lar es la familia, que a su vez tiene en el trabajo no remunerado de las mujeres a su principal fuente de </w:t>
      </w:r>
      <w:r w:rsidR="001740A1" w:rsidRPr="005E72C7">
        <w:rPr>
          <w:lang w:val="es-ES"/>
        </w:rPr>
        <w:t>soporte</w:t>
      </w:r>
      <w:r w:rsidRPr="005E72C7">
        <w:rPr>
          <w:lang w:val="es-ES"/>
        </w:rPr>
        <w:t xml:space="preserve">. Resta, por lo tanto, saber cómo el refuerzo del carácter </w:t>
      </w:r>
      <w:proofErr w:type="spellStart"/>
      <w:r w:rsidRPr="005E72C7">
        <w:rPr>
          <w:lang w:val="es-ES"/>
        </w:rPr>
        <w:t>contractualista</w:t>
      </w:r>
      <w:proofErr w:type="spellEnd"/>
      <w:r w:rsidRPr="005E72C7">
        <w:rPr>
          <w:lang w:val="es-ES"/>
        </w:rPr>
        <w:t xml:space="preserve"> del régimen de ciudadanía y bienestar, como vía de acceso al goce de derechos sociales, ha implicado una transformación de las relaciones sociales de sexo/género y las respectivas implicaciones en todas las esferas de la vida personal, familiar, social, económica y política. </w:t>
      </w:r>
    </w:p>
    <w:p w14:paraId="2C5617A5" w14:textId="77777777" w:rsidR="00153A37" w:rsidRPr="005E72C7" w:rsidRDefault="00153A37" w:rsidP="006F6DD5">
      <w:pPr>
        <w:tabs>
          <w:tab w:val="left" w:pos="567"/>
        </w:tabs>
        <w:autoSpaceDE w:val="0"/>
        <w:autoSpaceDN w:val="0"/>
        <w:adjustRightInd w:val="0"/>
        <w:spacing w:after="0" w:line="360" w:lineRule="auto"/>
        <w:jc w:val="both"/>
        <w:rPr>
          <w:color w:val="FF0000"/>
          <w:lang w:val="es-ES"/>
        </w:rPr>
      </w:pPr>
    </w:p>
    <w:p w14:paraId="7DD5D381" w14:textId="77777777" w:rsidR="00A74588" w:rsidRPr="005E72C7" w:rsidRDefault="00A74588" w:rsidP="006F6DD5">
      <w:pPr>
        <w:tabs>
          <w:tab w:val="left" w:pos="567"/>
        </w:tabs>
        <w:autoSpaceDE w:val="0"/>
        <w:autoSpaceDN w:val="0"/>
        <w:adjustRightInd w:val="0"/>
        <w:spacing w:after="0" w:line="360" w:lineRule="auto"/>
        <w:jc w:val="both"/>
        <w:rPr>
          <w:lang w:val="es-ES"/>
        </w:rPr>
      </w:pPr>
      <w:r w:rsidRPr="005E72C7">
        <w:rPr>
          <w:lang w:val="es-ES"/>
        </w:rPr>
        <w:t xml:space="preserve">Estos cambios </w:t>
      </w:r>
      <w:r w:rsidR="0090205C" w:rsidRPr="005E72C7">
        <w:rPr>
          <w:lang w:val="es-ES"/>
        </w:rPr>
        <w:t>presentan</w:t>
      </w:r>
      <w:r w:rsidRPr="005E72C7">
        <w:rPr>
          <w:lang w:val="es-ES"/>
        </w:rPr>
        <w:t xml:space="preserve"> enormes des</w:t>
      </w:r>
      <w:r w:rsidR="00F8094D" w:rsidRPr="005E72C7">
        <w:rPr>
          <w:lang w:val="es-ES"/>
        </w:rPr>
        <w:t>a</w:t>
      </w:r>
      <w:r w:rsidRPr="005E72C7">
        <w:rPr>
          <w:lang w:val="es-ES"/>
        </w:rPr>
        <w:t xml:space="preserve">fíos a los estudios feministas, </w:t>
      </w:r>
      <w:r w:rsidR="001740A1">
        <w:rPr>
          <w:lang w:val="es-ES"/>
        </w:rPr>
        <w:t xml:space="preserve">a los estudios </w:t>
      </w:r>
      <w:r w:rsidRPr="005E72C7">
        <w:rPr>
          <w:lang w:val="es-ES"/>
        </w:rPr>
        <w:t xml:space="preserve">sobre las mujeres y de género. De allí el interés de </w:t>
      </w:r>
      <w:r w:rsidRPr="005E72C7">
        <w:rPr>
          <w:i/>
          <w:lang w:val="es-ES"/>
        </w:rPr>
        <w:t xml:space="preserve">ex </w:t>
      </w:r>
      <w:proofErr w:type="spellStart"/>
      <w:r w:rsidRPr="005E72C7">
        <w:rPr>
          <w:i/>
          <w:lang w:val="es-ES"/>
        </w:rPr>
        <w:t>æquo</w:t>
      </w:r>
      <w:proofErr w:type="spellEnd"/>
      <w:r w:rsidRPr="005E72C7">
        <w:rPr>
          <w:lang w:val="es-ES"/>
        </w:rPr>
        <w:t xml:space="preserve"> en </w:t>
      </w:r>
      <w:r w:rsidR="0090205C" w:rsidRPr="005E72C7">
        <w:rPr>
          <w:lang w:val="es-ES"/>
        </w:rPr>
        <w:t>recoger</w:t>
      </w:r>
      <w:r w:rsidRPr="005E72C7">
        <w:rPr>
          <w:lang w:val="es-ES"/>
        </w:rPr>
        <w:t xml:space="preserve"> y visibilizar análisis que incluyan esta perspectiva, independientemente del área científica de donde proveng</w:t>
      </w:r>
      <w:r w:rsidR="0090205C" w:rsidRPr="005E72C7">
        <w:rPr>
          <w:lang w:val="es-ES"/>
        </w:rPr>
        <w:t>an (estudios sobre las mujeres/</w:t>
      </w:r>
      <w:r w:rsidRPr="005E72C7">
        <w:rPr>
          <w:lang w:val="es-ES"/>
        </w:rPr>
        <w:t xml:space="preserve">de </w:t>
      </w:r>
      <w:r w:rsidRPr="005E72C7">
        <w:rPr>
          <w:lang w:val="es-ES"/>
        </w:rPr>
        <w:lastRenderedPageBreak/>
        <w:t xml:space="preserve">género/feministas, sobre políticas sociales, o de áreas disciplinarias como la sociología, la economía, el derecho, la psicología, </w:t>
      </w:r>
      <w:r w:rsidR="001740A1" w:rsidRPr="005E72C7">
        <w:rPr>
          <w:lang w:val="es-ES"/>
        </w:rPr>
        <w:t>etc.</w:t>
      </w:r>
      <w:r w:rsidRPr="005E72C7">
        <w:rPr>
          <w:lang w:val="es-ES"/>
        </w:rPr>
        <w:t>).</w:t>
      </w:r>
    </w:p>
    <w:p w14:paraId="0F1FEF68" w14:textId="77777777" w:rsidR="00A74588" w:rsidRPr="005E72C7" w:rsidRDefault="00A74588" w:rsidP="006F6DD5">
      <w:pPr>
        <w:tabs>
          <w:tab w:val="left" w:pos="567"/>
        </w:tabs>
        <w:autoSpaceDE w:val="0"/>
        <w:autoSpaceDN w:val="0"/>
        <w:adjustRightInd w:val="0"/>
        <w:spacing w:after="0" w:line="360" w:lineRule="auto"/>
        <w:jc w:val="both"/>
        <w:rPr>
          <w:color w:val="FF0000"/>
          <w:lang w:val="es-ES"/>
        </w:rPr>
      </w:pPr>
    </w:p>
    <w:p w14:paraId="57301FDA" w14:textId="77777777" w:rsidR="006F6DD5" w:rsidRPr="005E72C7" w:rsidRDefault="006F6DD5" w:rsidP="006F6DD5">
      <w:pPr>
        <w:tabs>
          <w:tab w:val="left" w:pos="567"/>
        </w:tabs>
        <w:autoSpaceDE w:val="0"/>
        <w:autoSpaceDN w:val="0"/>
        <w:adjustRightInd w:val="0"/>
        <w:spacing w:after="0" w:line="360" w:lineRule="auto"/>
        <w:jc w:val="both"/>
        <w:rPr>
          <w:lang w:val="es-ES"/>
        </w:rPr>
      </w:pPr>
      <w:r w:rsidRPr="005E72C7">
        <w:rPr>
          <w:lang w:val="es-ES"/>
        </w:rPr>
        <w:t xml:space="preserve">En este dossier temático serán aceptadas contribuciones que tengan como objeto de análisis los cambios en curso en los regímenes de bienestar y de sexo/género como consecuencia de las políticas de austeridad adoptadas para hacer frente a la actual crisis económico-financiera. Son bienvenidos artículos sobre estudios de caso (de regiones, de países, de sectores </w:t>
      </w:r>
      <w:r w:rsidR="005E72C7" w:rsidRPr="005E72C7">
        <w:rPr>
          <w:lang w:val="es-ES"/>
        </w:rPr>
        <w:t>económicos</w:t>
      </w:r>
      <w:r w:rsidRPr="005E72C7">
        <w:rPr>
          <w:lang w:val="es-ES"/>
        </w:rPr>
        <w:t xml:space="preserve">, </w:t>
      </w:r>
      <w:proofErr w:type="spellStart"/>
      <w:r w:rsidRPr="005E72C7">
        <w:rPr>
          <w:lang w:val="es-ES"/>
        </w:rPr>
        <w:t>etc</w:t>
      </w:r>
      <w:proofErr w:type="spellEnd"/>
      <w:r w:rsidRPr="005E72C7">
        <w:rPr>
          <w:lang w:val="es-ES"/>
        </w:rPr>
        <w:t xml:space="preserve">), </w:t>
      </w:r>
      <w:r w:rsidR="001740A1" w:rsidRPr="001740A1">
        <w:rPr>
          <w:lang w:val="es-ES"/>
        </w:rPr>
        <w:t>o</w:t>
      </w:r>
      <w:r w:rsidR="001740A1">
        <w:rPr>
          <w:lang w:val="es-ES"/>
        </w:rPr>
        <w:t xml:space="preserve"> que</w:t>
      </w:r>
      <w:r w:rsidRPr="005E72C7">
        <w:rPr>
          <w:lang w:val="es-ES"/>
        </w:rPr>
        <w:t xml:space="preserve"> adopten una perspectiva comparada internacion</w:t>
      </w:r>
      <w:r w:rsidR="0095762F" w:rsidRPr="005E72C7">
        <w:rPr>
          <w:lang w:val="es-ES"/>
        </w:rPr>
        <w:t>al. Aunque otros tópicos no está</w:t>
      </w:r>
      <w:r w:rsidRPr="005E72C7">
        <w:rPr>
          <w:lang w:val="es-ES"/>
        </w:rPr>
        <w:t>n</w:t>
      </w:r>
      <w:r w:rsidR="0095762F" w:rsidRPr="005E72C7">
        <w:rPr>
          <w:lang w:val="es-ES"/>
        </w:rPr>
        <w:t xml:space="preserve"> </w:t>
      </w:r>
      <w:r w:rsidR="005E72C7" w:rsidRPr="005E72C7">
        <w:rPr>
          <w:lang w:val="es-ES"/>
        </w:rPr>
        <w:t>excluidos</w:t>
      </w:r>
      <w:r w:rsidRPr="005E72C7">
        <w:rPr>
          <w:lang w:val="es-ES"/>
        </w:rPr>
        <w:t xml:space="preserve"> de partida, serán privilegiados los análisis que reflexionen teórica y </w:t>
      </w:r>
      <w:r w:rsidR="005E72C7" w:rsidRPr="005E72C7">
        <w:rPr>
          <w:lang w:val="es-ES"/>
        </w:rPr>
        <w:t>empíricamente</w:t>
      </w:r>
      <w:r w:rsidRPr="005E72C7">
        <w:rPr>
          <w:lang w:val="es-ES"/>
        </w:rPr>
        <w:t xml:space="preserve"> sobre los siguientes</w:t>
      </w:r>
      <w:r w:rsidR="00791279" w:rsidRPr="005E72C7">
        <w:rPr>
          <w:lang w:val="es-ES"/>
        </w:rPr>
        <w:t xml:space="preserve"> temas</w:t>
      </w:r>
      <w:r w:rsidRPr="005E72C7">
        <w:rPr>
          <w:lang w:val="es-ES"/>
        </w:rPr>
        <w:t xml:space="preserve">: </w:t>
      </w:r>
    </w:p>
    <w:p w14:paraId="6C42DB70" w14:textId="77777777" w:rsidR="006F6DD5" w:rsidRPr="005E72C7" w:rsidRDefault="006F6DD5" w:rsidP="006F6DD5">
      <w:pPr>
        <w:tabs>
          <w:tab w:val="left" w:pos="567"/>
        </w:tabs>
        <w:autoSpaceDE w:val="0"/>
        <w:autoSpaceDN w:val="0"/>
        <w:adjustRightInd w:val="0"/>
        <w:spacing w:after="0" w:line="360" w:lineRule="auto"/>
        <w:jc w:val="both"/>
        <w:rPr>
          <w:color w:val="FF0000"/>
          <w:lang w:val="es-ES"/>
        </w:rPr>
      </w:pPr>
    </w:p>
    <w:p w14:paraId="5BE95172" w14:textId="77777777" w:rsidR="006F6DD5" w:rsidRPr="005E72C7" w:rsidRDefault="006F6DD5" w:rsidP="006F6DD5">
      <w:pPr>
        <w:shd w:val="clear" w:color="auto" w:fill="FFFFFF"/>
        <w:spacing w:after="240" w:line="360" w:lineRule="auto"/>
        <w:rPr>
          <w:rFonts w:cs="Calibri"/>
          <w:lang w:val="es-ES"/>
        </w:rPr>
      </w:pPr>
      <w:r w:rsidRPr="005E72C7">
        <w:rPr>
          <w:rFonts w:cs="Calibri"/>
          <w:lang w:val="es-ES"/>
        </w:rPr>
        <w:t>1. Políticas de austeridad y modelos económico-sociales, de ciudadanía y de sexo/género;</w:t>
      </w:r>
    </w:p>
    <w:p w14:paraId="20E662B3" w14:textId="77777777" w:rsidR="006F6DD5" w:rsidRPr="005E72C7" w:rsidRDefault="006F6DD5" w:rsidP="006F6DD5">
      <w:pPr>
        <w:shd w:val="clear" w:color="auto" w:fill="FFFFFF"/>
        <w:spacing w:after="240" w:line="360" w:lineRule="auto"/>
        <w:rPr>
          <w:rFonts w:cs="Calibri"/>
          <w:lang w:val="es-ES"/>
        </w:rPr>
      </w:pPr>
      <w:r w:rsidRPr="005E72C7">
        <w:rPr>
          <w:rFonts w:cs="Calibri"/>
          <w:lang w:val="es-ES"/>
        </w:rPr>
        <w:t>2. Análisis feministas sobre los impactos diferenciales de las políticas de austeridad en los patrones de segregación de los mercados de trabajo en regiones/países, sectores de empleo, trabajo remunerado/no remunerado y grupos sociales (en función de sexo, etnia, orientación sexual, clase social, edad, etc.);</w:t>
      </w:r>
    </w:p>
    <w:p w14:paraId="4165302A" w14:textId="77777777" w:rsidR="006F6DD5" w:rsidRPr="005E72C7" w:rsidRDefault="006F6DD5" w:rsidP="006F6DD5">
      <w:pPr>
        <w:shd w:val="clear" w:color="auto" w:fill="FFFFFF"/>
        <w:spacing w:after="240" w:line="360" w:lineRule="auto"/>
        <w:rPr>
          <w:rFonts w:cs="Calibri"/>
          <w:lang w:val="es-ES"/>
        </w:rPr>
      </w:pPr>
      <w:r w:rsidRPr="005E72C7">
        <w:rPr>
          <w:rFonts w:cs="Calibri"/>
          <w:lang w:val="es-ES"/>
        </w:rPr>
        <w:t>3. Efectos de la crisis y de las políticas de austeridad sobre los modelos de protección social y sus implicaciones en las relaciones sociales de sexo/género;</w:t>
      </w:r>
    </w:p>
    <w:p w14:paraId="61F58B81" w14:textId="77777777" w:rsidR="006F6DD5" w:rsidRPr="005E72C7" w:rsidRDefault="006F6DD5" w:rsidP="006F6DD5">
      <w:pPr>
        <w:shd w:val="clear" w:color="auto" w:fill="FFFFFF"/>
        <w:spacing w:after="240" w:line="360" w:lineRule="auto"/>
        <w:rPr>
          <w:rFonts w:cs="Calibri"/>
          <w:lang w:val="es-ES"/>
        </w:rPr>
      </w:pPr>
      <w:r w:rsidRPr="005E72C7">
        <w:rPr>
          <w:rFonts w:cs="Calibri"/>
          <w:lang w:val="es-ES"/>
        </w:rPr>
        <w:t>4. Inversión social</w:t>
      </w:r>
      <w:r w:rsidR="001740A1">
        <w:rPr>
          <w:rFonts w:cs="Calibri"/>
          <w:lang w:val="es-ES"/>
        </w:rPr>
        <w:t xml:space="preserve"> </w:t>
      </w:r>
      <w:r w:rsidRPr="005E72C7">
        <w:rPr>
          <w:rFonts w:cs="Calibri"/>
          <w:lang w:val="es-ES"/>
        </w:rPr>
        <w:t>– cambios y efectos sobre la articulación de la vida profesional y familiar;</w:t>
      </w:r>
    </w:p>
    <w:p w14:paraId="23F5C24F" w14:textId="77777777" w:rsidR="006F6DD5" w:rsidRPr="005E72C7" w:rsidRDefault="006F6DD5" w:rsidP="006F6DD5">
      <w:pPr>
        <w:shd w:val="clear" w:color="auto" w:fill="FFFFFF"/>
        <w:spacing w:after="240" w:line="360" w:lineRule="auto"/>
        <w:rPr>
          <w:rFonts w:cs="Calibri"/>
          <w:lang w:val="es-ES"/>
        </w:rPr>
      </w:pPr>
      <w:r w:rsidRPr="005E72C7">
        <w:rPr>
          <w:rFonts w:cs="Calibri"/>
          <w:lang w:val="es-ES"/>
        </w:rPr>
        <w:t>5. Discursos sobre la crisis y las políticas de austeridad y las respectivas implicacione</w:t>
      </w:r>
      <w:r w:rsidR="005E72C7">
        <w:rPr>
          <w:rFonts w:cs="Calibri"/>
          <w:lang w:val="es-ES"/>
        </w:rPr>
        <w:t>s para las re</w:t>
      </w:r>
      <w:r w:rsidRPr="005E72C7">
        <w:rPr>
          <w:rFonts w:cs="Calibri"/>
          <w:lang w:val="es-ES"/>
        </w:rPr>
        <w:t>presentaciones so</w:t>
      </w:r>
      <w:r w:rsidR="005E72C7">
        <w:rPr>
          <w:rFonts w:cs="Calibri"/>
          <w:lang w:val="es-ES"/>
        </w:rPr>
        <w:t>b</w:t>
      </w:r>
      <w:r w:rsidRPr="005E72C7">
        <w:rPr>
          <w:rFonts w:cs="Calibri"/>
          <w:lang w:val="es-ES"/>
        </w:rPr>
        <w:t xml:space="preserve">re las identidades y las relaciones de sexo/género; </w:t>
      </w:r>
    </w:p>
    <w:p w14:paraId="262C2080" w14:textId="77777777" w:rsidR="006F6DD5" w:rsidRPr="005E72C7" w:rsidRDefault="006F6DD5" w:rsidP="006F6DD5">
      <w:pPr>
        <w:shd w:val="clear" w:color="auto" w:fill="FFFFFF"/>
        <w:spacing w:after="240" w:line="360" w:lineRule="auto"/>
        <w:rPr>
          <w:rFonts w:cs="Calibri"/>
          <w:lang w:val="es-ES"/>
        </w:rPr>
      </w:pPr>
      <w:r w:rsidRPr="005E72C7">
        <w:rPr>
          <w:rFonts w:cs="Calibri"/>
          <w:lang w:val="es-ES"/>
        </w:rPr>
        <w:t xml:space="preserve">6. El régimen sexo/género y los límites del </w:t>
      </w:r>
      <w:proofErr w:type="spellStart"/>
      <w:r w:rsidRPr="005E72C7">
        <w:rPr>
          <w:rFonts w:cs="Calibri"/>
          <w:lang w:val="es-ES"/>
        </w:rPr>
        <w:t>contractualismo</w:t>
      </w:r>
      <w:proofErr w:type="spellEnd"/>
      <w:r w:rsidRPr="005E72C7">
        <w:rPr>
          <w:rFonts w:cs="Calibri"/>
          <w:lang w:val="es-ES"/>
        </w:rPr>
        <w:t>;</w:t>
      </w:r>
    </w:p>
    <w:p w14:paraId="05E79323" w14:textId="77777777" w:rsidR="006F6DD5" w:rsidRPr="005E72C7" w:rsidRDefault="006F6DD5" w:rsidP="006F6DD5">
      <w:pPr>
        <w:shd w:val="clear" w:color="auto" w:fill="FFFFFF"/>
        <w:spacing w:after="240" w:line="360" w:lineRule="auto"/>
        <w:rPr>
          <w:rFonts w:cs="Calibri"/>
          <w:lang w:val="es-ES"/>
        </w:rPr>
      </w:pPr>
      <w:r w:rsidRPr="005E72C7">
        <w:rPr>
          <w:rFonts w:cs="Calibri"/>
          <w:lang w:val="es-ES"/>
        </w:rPr>
        <w:t>7. Endeudamiento y gestión de los presupuestos familiares;</w:t>
      </w:r>
    </w:p>
    <w:p w14:paraId="200467E1" w14:textId="77777777" w:rsidR="006F6DD5" w:rsidRPr="005E72C7" w:rsidRDefault="006F6DD5" w:rsidP="006F6DD5">
      <w:pPr>
        <w:shd w:val="clear" w:color="auto" w:fill="FFFFFF"/>
        <w:spacing w:after="240" w:line="360" w:lineRule="auto"/>
        <w:rPr>
          <w:rFonts w:cs="Calibri"/>
          <w:lang w:val="es-ES"/>
        </w:rPr>
      </w:pPr>
      <w:r w:rsidRPr="005E72C7">
        <w:rPr>
          <w:rFonts w:cs="Calibri"/>
          <w:lang w:val="es-ES"/>
        </w:rPr>
        <w:t>8. Desempleo joven, precarización, limitaciones de acceso al crédito para vivienda- impactos sobre proyectos de autonomía personal;</w:t>
      </w:r>
    </w:p>
    <w:p w14:paraId="6411E51F" w14:textId="77777777" w:rsidR="006F6DD5" w:rsidRPr="005E72C7" w:rsidRDefault="005E72C7" w:rsidP="006F6DD5">
      <w:pPr>
        <w:shd w:val="clear" w:color="auto" w:fill="FFFFFF"/>
        <w:spacing w:after="240" w:line="360" w:lineRule="auto"/>
        <w:rPr>
          <w:rFonts w:cs="Calibri"/>
          <w:lang w:val="es-ES"/>
        </w:rPr>
      </w:pPr>
      <w:r>
        <w:rPr>
          <w:rFonts w:cs="Calibri"/>
          <w:lang w:val="es-ES"/>
        </w:rPr>
        <w:t xml:space="preserve">9. El </w:t>
      </w:r>
      <w:proofErr w:type="spellStart"/>
      <w:r>
        <w:rPr>
          <w:rFonts w:cs="Calibri"/>
          <w:lang w:val="es-ES"/>
        </w:rPr>
        <w:t>subfina</w:t>
      </w:r>
      <w:r w:rsidRPr="005E72C7">
        <w:rPr>
          <w:rFonts w:cs="Calibri"/>
          <w:lang w:val="es-ES"/>
        </w:rPr>
        <w:t>nciamiento</w:t>
      </w:r>
      <w:proofErr w:type="spellEnd"/>
      <w:r w:rsidR="006F6DD5" w:rsidRPr="005E72C7">
        <w:rPr>
          <w:rFonts w:cs="Calibri"/>
          <w:lang w:val="es-ES"/>
        </w:rPr>
        <w:t xml:space="preserve"> de centros de investigación y el impacto en los estudios feministas, sobre las mujeres y de género;</w:t>
      </w:r>
    </w:p>
    <w:p w14:paraId="1D8FD3EB" w14:textId="77777777" w:rsidR="006F6DD5" w:rsidRPr="005E72C7" w:rsidRDefault="006F6DD5" w:rsidP="006F6DD5">
      <w:pPr>
        <w:shd w:val="clear" w:color="auto" w:fill="FFFFFF"/>
        <w:spacing w:after="240" w:line="360" w:lineRule="auto"/>
        <w:rPr>
          <w:rFonts w:cs="Calibri"/>
          <w:lang w:val="es-ES"/>
        </w:rPr>
      </w:pPr>
      <w:r w:rsidRPr="005E72C7">
        <w:rPr>
          <w:rFonts w:cs="Calibri"/>
          <w:lang w:val="es-ES"/>
        </w:rPr>
        <w:lastRenderedPageBreak/>
        <w:t xml:space="preserve">10. Modalidades de movilización colectiva y discursos de resistencia a las políticas de austeridad y las respectivas implicaciones en el </w:t>
      </w:r>
      <w:proofErr w:type="spellStart"/>
      <w:r w:rsidRPr="005E72C7">
        <w:rPr>
          <w:rFonts w:cs="Calibri"/>
          <w:lang w:val="es-ES"/>
        </w:rPr>
        <w:t>gender</w:t>
      </w:r>
      <w:proofErr w:type="spellEnd"/>
      <w:r w:rsidRPr="005E72C7">
        <w:rPr>
          <w:rFonts w:cs="Calibri"/>
          <w:lang w:val="es-ES"/>
        </w:rPr>
        <w:t xml:space="preserve"> gap;</w:t>
      </w:r>
    </w:p>
    <w:p w14:paraId="31C1A94D" w14:textId="77777777" w:rsidR="006F6DD5" w:rsidRPr="005E72C7" w:rsidRDefault="006F6DD5" w:rsidP="006F6DD5">
      <w:pPr>
        <w:shd w:val="clear" w:color="auto" w:fill="FFFFFF"/>
        <w:spacing w:after="240" w:line="360" w:lineRule="auto"/>
        <w:rPr>
          <w:rFonts w:cs="Calibri"/>
          <w:lang w:val="es-ES"/>
        </w:rPr>
      </w:pPr>
      <w:r w:rsidRPr="005E72C7">
        <w:rPr>
          <w:rFonts w:cs="Calibri"/>
          <w:lang w:val="es-ES"/>
        </w:rPr>
        <w:t>11. Exploración de futuros alternativos más igualitarios;</w:t>
      </w:r>
    </w:p>
    <w:p w14:paraId="6D88BB06" w14:textId="77777777" w:rsidR="006F6DD5" w:rsidRPr="005E72C7" w:rsidRDefault="006F6DD5" w:rsidP="006F6DD5">
      <w:pPr>
        <w:shd w:val="clear" w:color="auto" w:fill="FFFFFF"/>
        <w:spacing w:after="240" w:line="360" w:lineRule="auto"/>
        <w:rPr>
          <w:rFonts w:cs="Calibri"/>
          <w:lang w:val="es-ES"/>
        </w:rPr>
      </w:pPr>
      <w:r w:rsidRPr="005E72C7">
        <w:rPr>
          <w:rFonts w:cs="Calibri"/>
          <w:lang w:val="es-ES"/>
        </w:rPr>
        <w:t xml:space="preserve">12. Re-emergencia y resistencia al </w:t>
      </w:r>
      <w:proofErr w:type="spellStart"/>
      <w:r w:rsidRPr="005E72C7">
        <w:rPr>
          <w:rFonts w:cs="Calibri"/>
          <w:lang w:val="es-ES"/>
        </w:rPr>
        <w:t>familiarismo</w:t>
      </w:r>
      <w:proofErr w:type="spellEnd"/>
      <w:r w:rsidRPr="005E72C7">
        <w:rPr>
          <w:rFonts w:cs="Calibri"/>
          <w:lang w:val="es-ES"/>
        </w:rPr>
        <w:t>.</w:t>
      </w:r>
    </w:p>
    <w:p w14:paraId="317BBD08" w14:textId="77777777" w:rsidR="00A50FA9" w:rsidRPr="005E72C7" w:rsidRDefault="00A50FA9" w:rsidP="009E48D0">
      <w:pPr>
        <w:jc w:val="both"/>
        <w:rPr>
          <w:rFonts w:eastAsia="Times New Roman" w:cs="Calibri"/>
          <w:b/>
          <w:lang w:val="es-ES"/>
        </w:rPr>
      </w:pPr>
      <w:r w:rsidRPr="005E72C7">
        <w:rPr>
          <w:rFonts w:eastAsia="Times New Roman" w:cs="Calibri"/>
          <w:b/>
          <w:lang w:val="es-ES"/>
        </w:rPr>
        <w:t>Plazo de envío:</w:t>
      </w:r>
    </w:p>
    <w:p w14:paraId="730FAC74" w14:textId="6BB3FCA3" w:rsidR="00A50FA9" w:rsidRPr="005E72C7" w:rsidRDefault="00A50FA9" w:rsidP="009E48D0">
      <w:pPr>
        <w:jc w:val="both"/>
        <w:rPr>
          <w:rFonts w:eastAsia="Times New Roman" w:cs="Calibri"/>
          <w:lang w:val="es-ES"/>
        </w:rPr>
      </w:pPr>
      <w:r w:rsidRPr="005E72C7">
        <w:rPr>
          <w:rFonts w:eastAsia="Times New Roman" w:cs="Calibri"/>
          <w:lang w:val="es-ES"/>
        </w:rPr>
        <w:t xml:space="preserve">El envío de los artículos </w:t>
      </w:r>
      <w:r w:rsidR="009E48D0" w:rsidRPr="005E72C7">
        <w:rPr>
          <w:rFonts w:eastAsia="Times New Roman" w:cs="Calibri"/>
          <w:lang w:val="es-ES"/>
        </w:rPr>
        <w:t xml:space="preserve">deberá realizarse </w:t>
      </w:r>
      <w:r w:rsidRPr="005E72C7">
        <w:rPr>
          <w:rFonts w:eastAsia="Times New Roman" w:cs="Calibri"/>
          <w:lang w:val="es-ES"/>
        </w:rPr>
        <w:t>con</w:t>
      </w:r>
      <w:r w:rsidR="001740A1">
        <w:rPr>
          <w:rFonts w:eastAsia="Times New Roman" w:cs="Calibri"/>
          <w:lang w:val="es-ES"/>
        </w:rPr>
        <w:t xml:space="preserve"> </w:t>
      </w:r>
      <w:r w:rsidRPr="005E72C7">
        <w:rPr>
          <w:rFonts w:eastAsia="Times New Roman" w:cs="Calibri"/>
          <w:lang w:val="es-ES"/>
        </w:rPr>
        <w:t xml:space="preserve">escrupuloso cumplimiento </w:t>
      </w:r>
      <w:r w:rsidR="009E48D0" w:rsidRPr="005E72C7">
        <w:rPr>
          <w:rFonts w:eastAsia="Times New Roman" w:cs="Calibri"/>
          <w:lang w:val="es-ES"/>
        </w:rPr>
        <w:t>de</w:t>
      </w:r>
      <w:r w:rsidRPr="005E72C7">
        <w:rPr>
          <w:rFonts w:eastAsia="Times New Roman" w:cs="Calibri"/>
          <w:lang w:val="es-ES"/>
        </w:rPr>
        <w:t xml:space="preserve"> las normas de la revista</w:t>
      </w:r>
      <w:r w:rsidR="009E48D0" w:rsidRPr="005E72C7">
        <w:rPr>
          <w:rFonts w:eastAsia="Times New Roman" w:cs="Calibri"/>
          <w:lang w:val="es-ES"/>
        </w:rPr>
        <w:t xml:space="preserve"> </w:t>
      </w:r>
      <w:r w:rsidRPr="005E72C7">
        <w:rPr>
          <w:rFonts w:eastAsia="Times New Roman" w:cs="Calibri"/>
          <w:b/>
          <w:lang w:val="es-ES"/>
        </w:rPr>
        <w:t xml:space="preserve">hasta el 15 de </w:t>
      </w:r>
      <w:r w:rsidR="00096740">
        <w:rPr>
          <w:rFonts w:eastAsia="Times New Roman" w:cs="Calibri"/>
          <w:b/>
          <w:lang w:val="es-ES"/>
        </w:rPr>
        <w:t>Marzo</w:t>
      </w:r>
      <w:bookmarkStart w:id="0" w:name="_GoBack"/>
      <w:bookmarkEnd w:id="0"/>
      <w:r w:rsidRPr="005E72C7">
        <w:rPr>
          <w:rFonts w:eastAsia="Times New Roman" w:cs="Calibri"/>
          <w:b/>
          <w:lang w:val="es-ES"/>
        </w:rPr>
        <w:t xml:space="preserve"> de 2015,</w:t>
      </w:r>
      <w:r w:rsidRPr="005E72C7">
        <w:rPr>
          <w:rFonts w:eastAsia="Times New Roman" w:cs="Calibri"/>
          <w:lang w:val="es-ES"/>
        </w:rPr>
        <w:t xml:space="preserve"> </w:t>
      </w:r>
      <w:r w:rsidR="00F8094D" w:rsidRPr="005E72C7">
        <w:rPr>
          <w:rFonts w:eastAsia="Times New Roman" w:cs="Calibri"/>
          <w:lang w:val="es-ES"/>
        </w:rPr>
        <w:t>a la atención de</w:t>
      </w:r>
      <w:r w:rsidR="005E72C7">
        <w:rPr>
          <w:rFonts w:eastAsia="Times New Roman" w:cs="Calibri"/>
          <w:lang w:val="es-ES"/>
        </w:rPr>
        <w:t xml:space="preserve"> Virginia Ferre</w:t>
      </w:r>
      <w:r w:rsidRPr="005E72C7">
        <w:rPr>
          <w:rFonts w:eastAsia="Times New Roman" w:cs="Calibri"/>
          <w:lang w:val="es-ES"/>
        </w:rPr>
        <w:t xml:space="preserve">ira y Silvia Portugal, responsables de este Dossier Temático, a </w:t>
      </w:r>
      <w:hyperlink r:id="rId6" w:history="1">
        <w:r w:rsidR="009E48D0" w:rsidRPr="005E72C7">
          <w:rPr>
            <w:rStyle w:val="Hyperlink"/>
            <w:rFonts w:eastAsia="Times New Roman" w:cs="Calibri"/>
            <w:color w:val="auto"/>
            <w:lang w:val="es-ES"/>
          </w:rPr>
          <w:t>apem1991@gmail.com</w:t>
        </w:r>
      </w:hyperlink>
    </w:p>
    <w:p w14:paraId="3B57C218" w14:textId="77777777" w:rsidR="009E48D0" w:rsidRPr="005E72C7" w:rsidRDefault="009E48D0" w:rsidP="009E48D0">
      <w:pPr>
        <w:jc w:val="both"/>
        <w:rPr>
          <w:rFonts w:eastAsia="Times New Roman" w:cs="Calibri"/>
          <w:lang w:val="es-ES"/>
        </w:rPr>
      </w:pPr>
      <w:r w:rsidRPr="005E72C7">
        <w:rPr>
          <w:rFonts w:eastAsia="Times New Roman" w:cs="Calibri"/>
          <w:lang w:val="es-ES"/>
        </w:rPr>
        <w:t>Los textos que n</w:t>
      </w:r>
      <w:r w:rsidR="002046E9" w:rsidRPr="005E72C7">
        <w:rPr>
          <w:rFonts w:eastAsia="Times New Roman" w:cs="Calibri"/>
          <w:lang w:val="es-ES"/>
        </w:rPr>
        <w:t>o respeten las normas en cuanto</w:t>
      </w:r>
      <w:r w:rsidRPr="005E72C7">
        <w:rPr>
          <w:rFonts w:eastAsia="Times New Roman" w:cs="Calibri"/>
          <w:lang w:val="es-ES"/>
        </w:rPr>
        <w:t xml:space="preserve"> a extensión, formato, citas y referencias bibliográficas serán excluidos en </w:t>
      </w:r>
      <w:r w:rsidR="002046E9" w:rsidRPr="005E72C7">
        <w:rPr>
          <w:rFonts w:eastAsia="Times New Roman" w:cs="Calibri"/>
          <w:lang w:val="es-ES"/>
        </w:rPr>
        <w:t>una primera selección</w:t>
      </w:r>
      <w:r w:rsidRPr="005E72C7">
        <w:rPr>
          <w:rFonts w:eastAsia="Times New Roman" w:cs="Calibri"/>
          <w:lang w:val="es-ES"/>
        </w:rPr>
        <w:t xml:space="preserve"> antes de ser sometidos a arbitraje. En el plazo de cuatro semanas luego de la fecha límite de recepción, las/los autoras/es recibirán infor</w:t>
      </w:r>
      <w:r w:rsidR="002046E9" w:rsidRPr="005E72C7">
        <w:rPr>
          <w:rFonts w:eastAsia="Times New Roman" w:cs="Calibri"/>
          <w:lang w:val="es-ES"/>
        </w:rPr>
        <w:t xml:space="preserve">mación sobre los resultados de la primera selección </w:t>
      </w:r>
      <w:r w:rsidRPr="005E72C7">
        <w:rPr>
          <w:rFonts w:eastAsia="Times New Roman" w:cs="Calibri"/>
          <w:lang w:val="es-ES"/>
        </w:rPr>
        <w:t xml:space="preserve">y el paso a la siguiente etapa, es decir, al envío, </w:t>
      </w:r>
      <w:r w:rsidR="002046E9" w:rsidRPr="005E72C7">
        <w:rPr>
          <w:rFonts w:eastAsia="Times New Roman" w:cs="Calibri"/>
          <w:lang w:val="es-ES"/>
        </w:rPr>
        <w:t>bajo condición de</w:t>
      </w:r>
      <w:r w:rsidR="00F8094D" w:rsidRPr="005E72C7">
        <w:rPr>
          <w:rFonts w:eastAsia="Times New Roman" w:cs="Calibri"/>
          <w:lang w:val="es-ES"/>
        </w:rPr>
        <w:t xml:space="preserve"> anonimato</w:t>
      </w:r>
      <w:r w:rsidR="00F8094D" w:rsidRPr="001740A1">
        <w:rPr>
          <w:rFonts w:eastAsia="Times New Roman" w:cs="Calibri"/>
          <w:lang w:val="es-ES"/>
        </w:rPr>
        <w:t xml:space="preserve">, </w:t>
      </w:r>
      <w:r w:rsidR="00266EC1" w:rsidRPr="001740A1">
        <w:rPr>
          <w:rFonts w:eastAsia="Times New Roman" w:cs="Calibri"/>
          <w:lang w:val="es-ES"/>
        </w:rPr>
        <w:t xml:space="preserve">para una revisión por pares (peer </w:t>
      </w:r>
      <w:proofErr w:type="spellStart"/>
      <w:r w:rsidR="00266EC1" w:rsidRPr="001740A1">
        <w:rPr>
          <w:rFonts w:eastAsia="Times New Roman" w:cs="Calibri"/>
          <w:lang w:val="es-ES"/>
        </w:rPr>
        <w:t>review</w:t>
      </w:r>
      <w:proofErr w:type="spellEnd"/>
      <w:r w:rsidR="00266EC1" w:rsidRPr="001740A1">
        <w:rPr>
          <w:rFonts w:eastAsia="Times New Roman" w:cs="Calibri"/>
          <w:lang w:val="es-ES"/>
        </w:rPr>
        <w:t>) del texto</w:t>
      </w:r>
      <w:r w:rsidRPr="001740A1">
        <w:rPr>
          <w:rFonts w:eastAsia="Times New Roman" w:cs="Calibri"/>
          <w:lang w:val="es-ES"/>
        </w:rPr>
        <w:t>.</w:t>
      </w:r>
      <w:r w:rsidRPr="005E72C7">
        <w:rPr>
          <w:rFonts w:eastAsia="Times New Roman" w:cs="Calibri"/>
          <w:lang w:val="es-ES"/>
        </w:rPr>
        <w:t xml:space="preserve"> </w:t>
      </w:r>
    </w:p>
    <w:p w14:paraId="30BDF88C" w14:textId="77777777" w:rsidR="009E48D0" w:rsidRPr="005E72C7" w:rsidRDefault="009E48D0" w:rsidP="000776C3">
      <w:pPr>
        <w:rPr>
          <w:lang w:val="es-ES"/>
        </w:rPr>
      </w:pPr>
    </w:p>
    <w:sectPr w:rsidR="009E48D0" w:rsidRPr="005E72C7">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4C0AA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D5937"/>
    <w:multiLevelType w:val="hybridMultilevel"/>
    <w:tmpl w:val="0B9A4CEE"/>
    <w:lvl w:ilvl="0" w:tplc="0816000F">
      <w:start w:val="1"/>
      <w:numFmt w:val="decimal"/>
      <w:lvlText w:val="%1."/>
      <w:lvlJc w:val="left"/>
      <w:pPr>
        <w:ind w:left="720" w:hanging="360"/>
      </w:pPr>
      <w:rPr>
        <w:rFonts w:cs="Times New Roman" w:hint="default"/>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C3"/>
    <w:rsid w:val="000776C3"/>
    <w:rsid w:val="00096740"/>
    <w:rsid w:val="000B2A41"/>
    <w:rsid w:val="00153A37"/>
    <w:rsid w:val="001740A1"/>
    <w:rsid w:val="0019464E"/>
    <w:rsid w:val="001B260E"/>
    <w:rsid w:val="001F37F1"/>
    <w:rsid w:val="002046E9"/>
    <w:rsid w:val="00250EFC"/>
    <w:rsid w:val="00266EC1"/>
    <w:rsid w:val="0028088A"/>
    <w:rsid w:val="00303ADA"/>
    <w:rsid w:val="00336E9A"/>
    <w:rsid w:val="00370580"/>
    <w:rsid w:val="004653D3"/>
    <w:rsid w:val="004B1049"/>
    <w:rsid w:val="004E5D7C"/>
    <w:rsid w:val="0050744F"/>
    <w:rsid w:val="00545D2C"/>
    <w:rsid w:val="00567A5B"/>
    <w:rsid w:val="005E72C7"/>
    <w:rsid w:val="006F6DD5"/>
    <w:rsid w:val="00701457"/>
    <w:rsid w:val="00746766"/>
    <w:rsid w:val="00751C01"/>
    <w:rsid w:val="0076687E"/>
    <w:rsid w:val="00791279"/>
    <w:rsid w:val="007B614C"/>
    <w:rsid w:val="007E43F3"/>
    <w:rsid w:val="007F01C7"/>
    <w:rsid w:val="008B39A8"/>
    <w:rsid w:val="008B7EA5"/>
    <w:rsid w:val="0090205C"/>
    <w:rsid w:val="009113BE"/>
    <w:rsid w:val="0092451B"/>
    <w:rsid w:val="0095762F"/>
    <w:rsid w:val="009C66C9"/>
    <w:rsid w:val="009E48D0"/>
    <w:rsid w:val="009F118F"/>
    <w:rsid w:val="00A50FA9"/>
    <w:rsid w:val="00A74588"/>
    <w:rsid w:val="00AC65B5"/>
    <w:rsid w:val="00AF0295"/>
    <w:rsid w:val="00AF6E46"/>
    <w:rsid w:val="00B85C45"/>
    <w:rsid w:val="00C860D4"/>
    <w:rsid w:val="00CC75D2"/>
    <w:rsid w:val="00D26CB9"/>
    <w:rsid w:val="00D6102D"/>
    <w:rsid w:val="00EB4519"/>
    <w:rsid w:val="00F8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6C3"/>
    <w:pPr>
      <w:spacing w:after="200" w:line="276" w:lineRule="auto"/>
    </w:pPr>
    <w:rPr>
      <w:rFonts w:ascii="Calibri" w:eastAsia="PMingLiU" w:hAnsi="Calibri" w:cs="Arial"/>
      <w:lang w:val="pt-PT" w:eastAsia="zh-TW"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776C3"/>
    <w:pPr>
      <w:ind w:left="720"/>
      <w:contextualSpacing/>
    </w:pPr>
    <w:rPr>
      <w:lang w:eastAsia="en-US" w:bidi="ar-SA"/>
    </w:rPr>
  </w:style>
  <w:style w:type="character" w:customStyle="1" w:styleId="ListParagraphChar">
    <w:name w:val="List Paragraph Char"/>
    <w:basedOn w:val="DefaultParagraphFont"/>
    <w:link w:val="ListParagraph"/>
    <w:uiPriority w:val="99"/>
    <w:locked/>
    <w:rsid w:val="000776C3"/>
    <w:rPr>
      <w:rFonts w:ascii="Calibri" w:eastAsia="PMingLiU" w:hAnsi="Calibri" w:cs="Arial"/>
      <w:lang w:val="pt-PT"/>
    </w:rPr>
  </w:style>
  <w:style w:type="character" w:styleId="Hyperlink">
    <w:name w:val="Hyperlink"/>
    <w:basedOn w:val="DefaultParagraphFont"/>
    <w:uiPriority w:val="99"/>
    <w:rsid w:val="000776C3"/>
    <w:rPr>
      <w:rFonts w:cs="Times New Roman"/>
      <w:color w:val="006633"/>
      <w:u w:val="single"/>
    </w:rPr>
  </w:style>
  <w:style w:type="character" w:styleId="CommentReference">
    <w:name w:val="annotation reference"/>
    <w:basedOn w:val="DefaultParagraphFont"/>
    <w:uiPriority w:val="99"/>
    <w:semiHidden/>
    <w:unhideWhenUsed/>
    <w:rsid w:val="00266EC1"/>
    <w:rPr>
      <w:sz w:val="16"/>
      <w:szCs w:val="16"/>
    </w:rPr>
  </w:style>
  <w:style w:type="paragraph" w:styleId="CommentText">
    <w:name w:val="annotation text"/>
    <w:basedOn w:val="Normal"/>
    <w:link w:val="CommentTextChar"/>
    <w:uiPriority w:val="99"/>
    <w:semiHidden/>
    <w:unhideWhenUsed/>
    <w:rsid w:val="00266EC1"/>
    <w:pPr>
      <w:spacing w:line="240" w:lineRule="auto"/>
    </w:pPr>
    <w:rPr>
      <w:sz w:val="20"/>
      <w:szCs w:val="20"/>
    </w:rPr>
  </w:style>
  <w:style w:type="character" w:customStyle="1" w:styleId="CommentTextChar">
    <w:name w:val="Comment Text Char"/>
    <w:basedOn w:val="DefaultParagraphFont"/>
    <w:link w:val="CommentText"/>
    <w:uiPriority w:val="99"/>
    <w:semiHidden/>
    <w:rsid w:val="00266EC1"/>
    <w:rPr>
      <w:rFonts w:ascii="Calibri" w:eastAsia="PMingLiU" w:hAnsi="Calibri" w:cs="Arial"/>
      <w:sz w:val="20"/>
      <w:szCs w:val="20"/>
      <w:lang w:val="pt-PT" w:eastAsia="zh-TW" w:bidi="he-IL"/>
    </w:rPr>
  </w:style>
  <w:style w:type="paragraph" w:styleId="CommentSubject">
    <w:name w:val="annotation subject"/>
    <w:basedOn w:val="CommentText"/>
    <w:next w:val="CommentText"/>
    <w:link w:val="CommentSubjectChar"/>
    <w:uiPriority w:val="99"/>
    <w:semiHidden/>
    <w:unhideWhenUsed/>
    <w:rsid w:val="00266EC1"/>
    <w:rPr>
      <w:b/>
      <w:bCs/>
    </w:rPr>
  </w:style>
  <w:style w:type="character" w:customStyle="1" w:styleId="CommentSubjectChar">
    <w:name w:val="Comment Subject Char"/>
    <w:basedOn w:val="CommentTextChar"/>
    <w:link w:val="CommentSubject"/>
    <w:uiPriority w:val="99"/>
    <w:semiHidden/>
    <w:rsid w:val="00266EC1"/>
    <w:rPr>
      <w:rFonts w:ascii="Calibri" w:eastAsia="PMingLiU" w:hAnsi="Calibri" w:cs="Arial"/>
      <w:b/>
      <w:bCs/>
      <w:sz w:val="20"/>
      <w:szCs w:val="20"/>
      <w:lang w:val="pt-PT" w:eastAsia="zh-TW" w:bidi="he-IL"/>
    </w:rPr>
  </w:style>
  <w:style w:type="paragraph" w:styleId="BalloonText">
    <w:name w:val="Balloon Text"/>
    <w:basedOn w:val="Normal"/>
    <w:link w:val="BalloonTextChar"/>
    <w:uiPriority w:val="99"/>
    <w:semiHidden/>
    <w:unhideWhenUsed/>
    <w:rsid w:val="00266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EC1"/>
    <w:rPr>
      <w:rFonts w:ascii="Tahoma" w:eastAsia="PMingLiU" w:hAnsi="Tahoma" w:cs="Tahoma"/>
      <w:sz w:val="16"/>
      <w:szCs w:val="16"/>
      <w:lang w:val="pt-PT" w:eastAsia="zh-TW"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6C3"/>
    <w:pPr>
      <w:spacing w:after="200" w:line="276" w:lineRule="auto"/>
    </w:pPr>
    <w:rPr>
      <w:rFonts w:ascii="Calibri" w:eastAsia="PMingLiU" w:hAnsi="Calibri" w:cs="Arial"/>
      <w:lang w:val="pt-PT" w:eastAsia="zh-TW"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776C3"/>
    <w:pPr>
      <w:ind w:left="720"/>
      <w:contextualSpacing/>
    </w:pPr>
    <w:rPr>
      <w:lang w:eastAsia="en-US" w:bidi="ar-SA"/>
    </w:rPr>
  </w:style>
  <w:style w:type="character" w:customStyle="1" w:styleId="ListParagraphChar">
    <w:name w:val="List Paragraph Char"/>
    <w:basedOn w:val="DefaultParagraphFont"/>
    <w:link w:val="ListParagraph"/>
    <w:uiPriority w:val="99"/>
    <w:locked/>
    <w:rsid w:val="000776C3"/>
    <w:rPr>
      <w:rFonts w:ascii="Calibri" w:eastAsia="PMingLiU" w:hAnsi="Calibri" w:cs="Arial"/>
      <w:lang w:val="pt-PT"/>
    </w:rPr>
  </w:style>
  <w:style w:type="character" w:styleId="Hyperlink">
    <w:name w:val="Hyperlink"/>
    <w:basedOn w:val="DefaultParagraphFont"/>
    <w:uiPriority w:val="99"/>
    <w:rsid w:val="000776C3"/>
    <w:rPr>
      <w:rFonts w:cs="Times New Roman"/>
      <w:color w:val="006633"/>
      <w:u w:val="single"/>
    </w:rPr>
  </w:style>
  <w:style w:type="character" w:styleId="CommentReference">
    <w:name w:val="annotation reference"/>
    <w:basedOn w:val="DefaultParagraphFont"/>
    <w:uiPriority w:val="99"/>
    <w:semiHidden/>
    <w:unhideWhenUsed/>
    <w:rsid w:val="00266EC1"/>
    <w:rPr>
      <w:sz w:val="16"/>
      <w:szCs w:val="16"/>
    </w:rPr>
  </w:style>
  <w:style w:type="paragraph" w:styleId="CommentText">
    <w:name w:val="annotation text"/>
    <w:basedOn w:val="Normal"/>
    <w:link w:val="CommentTextChar"/>
    <w:uiPriority w:val="99"/>
    <w:semiHidden/>
    <w:unhideWhenUsed/>
    <w:rsid w:val="00266EC1"/>
    <w:pPr>
      <w:spacing w:line="240" w:lineRule="auto"/>
    </w:pPr>
    <w:rPr>
      <w:sz w:val="20"/>
      <w:szCs w:val="20"/>
    </w:rPr>
  </w:style>
  <w:style w:type="character" w:customStyle="1" w:styleId="CommentTextChar">
    <w:name w:val="Comment Text Char"/>
    <w:basedOn w:val="DefaultParagraphFont"/>
    <w:link w:val="CommentText"/>
    <w:uiPriority w:val="99"/>
    <w:semiHidden/>
    <w:rsid w:val="00266EC1"/>
    <w:rPr>
      <w:rFonts w:ascii="Calibri" w:eastAsia="PMingLiU" w:hAnsi="Calibri" w:cs="Arial"/>
      <w:sz w:val="20"/>
      <w:szCs w:val="20"/>
      <w:lang w:val="pt-PT" w:eastAsia="zh-TW" w:bidi="he-IL"/>
    </w:rPr>
  </w:style>
  <w:style w:type="paragraph" w:styleId="CommentSubject">
    <w:name w:val="annotation subject"/>
    <w:basedOn w:val="CommentText"/>
    <w:next w:val="CommentText"/>
    <w:link w:val="CommentSubjectChar"/>
    <w:uiPriority w:val="99"/>
    <w:semiHidden/>
    <w:unhideWhenUsed/>
    <w:rsid w:val="00266EC1"/>
    <w:rPr>
      <w:b/>
      <w:bCs/>
    </w:rPr>
  </w:style>
  <w:style w:type="character" w:customStyle="1" w:styleId="CommentSubjectChar">
    <w:name w:val="Comment Subject Char"/>
    <w:basedOn w:val="CommentTextChar"/>
    <w:link w:val="CommentSubject"/>
    <w:uiPriority w:val="99"/>
    <w:semiHidden/>
    <w:rsid w:val="00266EC1"/>
    <w:rPr>
      <w:rFonts w:ascii="Calibri" w:eastAsia="PMingLiU" w:hAnsi="Calibri" w:cs="Arial"/>
      <w:b/>
      <w:bCs/>
      <w:sz w:val="20"/>
      <w:szCs w:val="20"/>
      <w:lang w:val="pt-PT" w:eastAsia="zh-TW" w:bidi="he-IL"/>
    </w:rPr>
  </w:style>
  <w:style w:type="paragraph" w:styleId="BalloonText">
    <w:name w:val="Balloon Text"/>
    <w:basedOn w:val="Normal"/>
    <w:link w:val="BalloonTextChar"/>
    <w:uiPriority w:val="99"/>
    <w:semiHidden/>
    <w:unhideWhenUsed/>
    <w:rsid w:val="00266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EC1"/>
    <w:rPr>
      <w:rFonts w:ascii="Tahoma" w:eastAsia="PMingLiU" w:hAnsi="Tahoma" w:cs="Tahoma"/>
      <w:sz w:val="16"/>
      <w:szCs w:val="16"/>
      <w:lang w:val="pt-PT" w:eastAsia="zh-TW"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em199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898</Words>
  <Characters>4852</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alberto</cp:lastModifiedBy>
  <cp:revision>4</cp:revision>
  <dcterms:created xsi:type="dcterms:W3CDTF">2015-01-06T20:43:00Z</dcterms:created>
  <dcterms:modified xsi:type="dcterms:W3CDTF">2015-01-24T21:46:00Z</dcterms:modified>
</cp:coreProperties>
</file>